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89" w:rsidRPr="00065789" w:rsidRDefault="00065789" w:rsidP="00065789">
      <w:pPr>
        <w:spacing w:before="100" w:beforeAutospacing="1" w:after="100" w:afterAutospacing="1" w:line="240" w:lineRule="auto"/>
        <w:jc w:val="center"/>
        <w:outlineLvl w:val="0"/>
        <w:rPr>
          <w:rFonts w:ascii="MyriadPro" w:eastAsia="Times New Roman" w:hAnsi="MyriadPro" w:cs="Times New Roman"/>
          <w:b/>
          <w:bCs/>
          <w:kern w:val="36"/>
          <w:sz w:val="32"/>
          <w:szCs w:val="32"/>
          <w:lang w:eastAsia="tr-TR"/>
        </w:rPr>
      </w:pPr>
      <w:r w:rsidRPr="00065789">
        <w:rPr>
          <w:rFonts w:ascii="MyriadPro" w:eastAsia="Times New Roman" w:hAnsi="MyriadPro" w:cs="Times New Roman"/>
          <w:b/>
          <w:bCs/>
          <w:kern w:val="36"/>
          <w:sz w:val="32"/>
          <w:szCs w:val="32"/>
          <w:lang w:eastAsia="tr-TR"/>
        </w:rPr>
        <w:t>Mesleki Eğitim Merkezi Ustalık Telafi Programı</w:t>
      </w:r>
    </w:p>
    <w:p w:rsidR="00065789" w:rsidRDefault="00065789" w:rsidP="00065789">
      <w:pPr>
        <w:rPr>
          <w:rFonts w:ascii="MyriadPro" w:hAnsi="MyriadPro"/>
          <w:color w:val="212529"/>
          <w:shd w:val="clear" w:color="auto" w:fill="FFFFFF"/>
        </w:rPr>
      </w:pPr>
      <w:r>
        <w:rPr>
          <w:rFonts w:ascii="MyriadPro" w:hAnsi="MyriadPro"/>
          <w:color w:val="212529"/>
          <w:shd w:val="clear" w:color="auto" w:fill="FFFFFF"/>
        </w:rPr>
        <w:t>Millî Eğitim Bakanlığı'na bağlı mesleki ve teknik ortaöğretim okul/kurumlarında uygulanmak üzere 24 alan 97 dalda "Mesleki Eğitim Merkezi Telafi Çerçeve Öğretim Programları" hazırlanmış, Talim ve Terbiye Kurulunun Kararı ile uygun bulunarak uygulamaya konulmuştur.</w:t>
      </w:r>
    </w:p>
    <w:p w:rsidR="00065789" w:rsidRDefault="00065789" w:rsidP="00065789"/>
    <w:p w:rsidR="00065789" w:rsidRPr="00065789" w:rsidRDefault="00065789" w:rsidP="00065789">
      <w:pPr>
        <w:rPr>
          <w:b/>
        </w:rPr>
      </w:pPr>
      <w:r w:rsidRPr="00065789">
        <w:rPr>
          <w:b/>
        </w:rPr>
        <w:t xml:space="preserve">En az </w:t>
      </w:r>
      <w:r w:rsidRPr="00065789">
        <w:rPr>
          <w:b/>
        </w:rPr>
        <w:t>lise ve</w:t>
      </w:r>
      <w:r w:rsidRPr="00065789">
        <w:rPr>
          <w:b/>
        </w:rPr>
        <w:t xml:space="preserve"> ön lisans-lisans</w:t>
      </w:r>
      <w:r w:rsidRPr="00065789">
        <w:rPr>
          <w:b/>
        </w:rPr>
        <w:t xml:space="preserve"> mezunları </w:t>
      </w:r>
      <w:r w:rsidRPr="00065789">
        <w:rPr>
          <w:b/>
        </w:rPr>
        <w:t>için</w:t>
      </w:r>
    </w:p>
    <w:p w:rsidR="00065789" w:rsidRDefault="00065789" w:rsidP="00065789">
      <w:pPr>
        <w:pStyle w:val="ListeParagraf"/>
        <w:numPr>
          <w:ilvl w:val="0"/>
          <w:numId w:val="1"/>
        </w:numPr>
      </w:pPr>
      <w:r>
        <w:t xml:space="preserve">Programın süresi ilgili alan/dalın çerçeve öğretim programında belirtilen süre kadar olup en fazla 27 hafta olarak uygulanacaktır. </w:t>
      </w:r>
    </w:p>
    <w:p w:rsidR="00065789" w:rsidRDefault="00065789" w:rsidP="00065789">
      <w:pPr>
        <w:pStyle w:val="ListeParagraf"/>
        <w:numPr>
          <w:ilvl w:val="0"/>
          <w:numId w:val="1"/>
        </w:numPr>
      </w:pPr>
      <w:r>
        <w:t xml:space="preserve">Programın eğitim içeriğinin tamamı işletmelerde yapılacaktır. </w:t>
      </w:r>
    </w:p>
    <w:p w:rsidR="00065789" w:rsidRDefault="00065789" w:rsidP="00065789">
      <w:pPr>
        <w:pStyle w:val="ListeParagraf"/>
        <w:numPr>
          <w:ilvl w:val="0"/>
          <w:numId w:val="1"/>
        </w:numPr>
      </w:pPr>
      <w:r>
        <w:t xml:space="preserve">Eğitime bir işletme ile sözleşme yapılması akabinde başlanacaktır. </w:t>
      </w:r>
    </w:p>
    <w:p w:rsidR="00065789" w:rsidRDefault="00065789" w:rsidP="00065789">
      <w:pPr>
        <w:pStyle w:val="ListeParagraf"/>
        <w:numPr>
          <w:ilvl w:val="0"/>
          <w:numId w:val="1"/>
        </w:numPr>
      </w:pPr>
      <w:r>
        <w:t>Eğitim süresince öğrencilerin sigorta primleri ile işletmelere Devlet katkısı ödemesi yapılacaktır.</w:t>
      </w:r>
    </w:p>
    <w:p w:rsidR="00065789" w:rsidRDefault="00065789" w:rsidP="00065789">
      <w:pPr>
        <w:pStyle w:val="ListeParagraf"/>
        <w:numPr>
          <w:ilvl w:val="0"/>
          <w:numId w:val="1"/>
        </w:numPr>
      </w:pPr>
      <w:r>
        <w:t>Öğrenciler, Milli Eğitim Bakanlığı Önceki Öğrenmelerin Tanınması, Denklik ve Ölçme Değerlendirme İşlemleri İle İlgili Usul Ve Esaslara İlişkin Yönerge hükümlerine göre yapılan ustalık beceri sınavına, eğitimlerini tamamladıkları tarih itibariyle açılacak ilk sınav döneminde alınabileceklerdir.</w:t>
      </w:r>
    </w:p>
    <w:p w:rsidR="00065789" w:rsidRDefault="00065789" w:rsidP="00065789">
      <w:pPr>
        <w:pStyle w:val="ListeParagraf"/>
        <w:numPr>
          <w:ilvl w:val="0"/>
          <w:numId w:val="1"/>
        </w:numPr>
      </w:pPr>
      <w:r>
        <w:t>Eğitim sonunda başarılı olanlara Ustalık Belgesi düzenlenecektir.</w:t>
      </w:r>
    </w:p>
    <w:p w:rsidR="000F3960" w:rsidRDefault="000F3960" w:rsidP="000F3960">
      <w:pPr>
        <w:rPr>
          <w:sz w:val="28"/>
          <w:szCs w:val="28"/>
        </w:rPr>
      </w:pPr>
      <w:r w:rsidRPr="000F3960">
        <w:rPr>
          <w:b/>
          <w:sz w:val="28"/>
          <w:szCs w:val="28"/>
        </w:rPr>
        <w:t>Önemli Not:</w:t>
      </w:r>
      <w:r w:rsidRPr="000F3960">
        <w:rPr>
          <w:sz w:val="28"/>
          <w:szCs w:val="28"/>
        </w:rPr>
        <w:t xml:space="preserve"> </w:t>
      </w:r>
      <w:r w:rsidRPr="000F3960">
        <w:rPr>
          <w:sz w:val="28"/>
          <w:szCs w:val="28"/>
        </w:rPr>
        <w:t xml:space="preserve">Çalışan sayısı 50 ve üzerinde olan işletmeler, bulundukları İl/İlçenin Milli Eğitim Müdürlükleri ile protokol imzalamaları halinde mesleki eğitim merkezi ustalık telafi programlarına sürekli kayıt </w:t>
      </w:r>
      <w:r>
        <w:rPr>
          <w:sz w:val="28"/>
          <w:szCs w:val="28"/>
        </w:rPr>
        <w:t>yaptırabilirler.</w:t>
      </w:r>
    </w:p>
    <w:p w:rsidR="000F3960" w:rsidRPr="000F3960" w:rsidRDefault="000F3960" w:rsidP="000F3960">
      <w:pPr>
        <w:rPr>
          <w:sz w:val="28"/>
          <w:szCs w:val="28"/>
        </w:rPr>
      </w:pPr>
      <w:r w:rsidRPr="000F3960">
        <w:rPr>
          <w:sz w:val="28"/>
          <w:szCs w:val="28"/>
        </w:rPr>
        <w:t>50’ de</w:t>
      </w:r>
      <w:r>
        <w:rPr>
          <w:sz w:val="28"/>
          <w:szCs w:val="28"/>
        </w:rPr>
        <w:t>n az çalışanı olan işletmeler</w:t>
      </w:r>
      <w:r w:rsidRPr="000F3960">
        <w:rPr>
          <w:sz w:val="28"/>
          <w:szCs w:val="28"/>
        </w:rPr>
        <w:t xml:space="preserve"> protokol imzalamaksızın 30 Aralık 2022 tarihine kadar öğrenci ka</w:t>
      </w:r>
      <w:r>
        <w:rPr>
          <w:sz w:val="28"/>
          <w:szCs w:val="28"/>
        </w:rPr>
        <w:t>ydı yapabilecektir.</w:t>
      </w:r>
      <w:bookmarkStart w:id="0" w:name="_GoBack"/>
      <w:bookmarkEnd w:id="0"/>
    </w:p>
    <w:sectPr w:rsidR="000F3960" w:rsidRPr="000F3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38B3"/>
    <w:multiLevelType w:val="hybridMultilevel"/>
    <w:tmpl w:val="F4BA1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89"/>
    <w:rsid w:val="00065789"/>
    <w:rsid w:val="000F3960"/>
    <w:rsid w:val="00AC4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7454"/>
  <w15:chartTrackingRefBased/>
  <w15:docId w15:val="{8A582B93-31BE-43B7-A081-3067991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5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cp:revision>
  <dcterms:created xsi:type="dcterms:W3CDTF">2022-08-29T22:31:00Z</dcterms:created>
  <dcterms:modified xsi:type="dcterms:W3CDTF">2022-08-29T22:45:00Z</dcterms:modified>
</cp:coreProperties>
</file>